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8D5" w:rsidRPr="00EB0899" w:rsidRDefault="001F78D5" w:rsidP="001F7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right"/>
        <w:rPr>
          <w:rFonts w:ascii="Times New Roman" w:hAnsi="Times New Roman" w:cs="Times New Roman"/>
          <w:sz w:val="24"/>
        </w:rPr>
      </w:pPr>
      <w:r w:rsidRPr="00EB0899">
        <w:rPr>
          <w:rFonts w:ascii="Times New Roman" w:hAnsi="Times New Roman" w:cs="Times New Roman"/>
          <w:sz w:val="24"/>
        </w:rPr>
        <w:t>Приложение 16</w:t>
      </w:r>
    </w:p>
    <w:p w:rsidR="001F78D5" w:rsidRDefault="001F78D5" w:rsidP="001F7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F78D5" w:rsidRPr="001F78D5" w:rsidRDefault="001F78D5" w:rsidP="001F7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8D5">
        <w:rPr>
          <w:rFonts w:ascii="Times New Roman" w:hAnsi="Times New Roman" w:cs="Times New Roman"/>
          <w:b/>
          <w:sz w:val="28"/>
          <w:szCs w:val="28"/>
        </w:rPr>
        <w:t>Метод</w:t>
      </w:r>
      <w:bookmarkStart w:id="0" w:name="_GoBack"/>
      <w:bookmarkEnd w:id="0"/>
      <w:r w:rsidRPr="001F78D5">
        <w:rPr>
          <w:rFonts w:ascii="Times New Roman" w:hAnsi="Times New Roman" w:cs="Times New Roman"/>
          <w:b/>
          <w:sz w:val="28"/>
          <w:szCs w:val="28"/>
        </w:rPr>
        <w:t xml:space="preserve"> начисления амортизации</w:t>
      </w:r>
    </w:p>
    <w:p w:rsidR="001F78D5" w:rsidRDefault="001F78D5" w:rsidP="001F7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3009" w:rsidRDefault="00FE3009" w:rsidP="001F7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Амортизация объекта основных средств начинается с 1-го числа месяца, следующего за месяцем принятия его к бухгалтерскому учету.</w:t>
      </w:r>
    </w:p>
    <w:p w:rsidR="00FE3009" w:rsidRDefault="00FE3009" w:rsidP="001F7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Амортизация объекта основных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екращается с 1-го числа месяца, следующего за месяцем прекращения признания (выбытия его из бухгалтерского учета), или с 1-го числа месяца, следующего за месяцем, в котором остаточная стоимость объекта основных средств стала равна нулю.</w:t>
      </w:r>
    </w:p>
    <w:p w:rsidR="00FE3009" w:rsidRDefault="00FE3009" w:rsidP="001F7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Начисление амортизации объекта основных средств не приостанавливается в случаях, когда объект основных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остаивает или не используется, за исключением случаев, когда остаточная стоимость объекта основных средств стала равна нулю.</w:t>
      </w:r>
    </w:p>
    <w:p w:rsidR="00347023" w:rsidRDefault="00347023" w:rsidP="001F7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начисления амортизации нефинансовых активов в целях реализации данной учетной политики применяется </w:t>
      </w:r>
      <w:r w:rsidRPr="00347023">
        <w:rPr>
          <w:rFonts w:ascii="Times New Roman" w:hAnsi="Times New Roman" w:cs="Times New Roman"/>
          <w:i/>
          <w:sz w:val="28"/>
          <w:szCs w:val="28"/>
        </w:rPr>
        <w:t>линейный</w:t>
      </w:r>
      <w:r>
        <w:rPr>
          <w:rFonts w:ascii="Times New Roman" w:hAnsi="Times New Roman" w:cs="Times New Roman"/>
          <w:sz w:val="28"/>
          <w:szCs w:val="28"/>
        </w:rPr>
        <w:t xml:space="preserve"> метод.</w:t>
      </w:r>
    </w:p>
    <w:p w:rsidR="00AE000F" w:rsidRDefault="00AE000F" w:rsidP="001F7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объекты основных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>
        <w:rPr>
          <w:rFonts w:ascii="Times New Roman" w:hAnsi="Times New Roman" w:cs="Times New Roman"/>
          <w:sz w:val="28"/>
          <w:szCs w:val="28"/>
        </w:rPr>
        <w:t>оимостью свыше  100 000 рублей амортизация начисляется в соответствии с нормами амортизации.</w:t>
      </w:r>
    </w:p>
    <w:p w:rsidR="00AE000F" w:rsidRDefault="00AE000F" w:rsidP="001F7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объекты основных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оимостью до 10 000 рублей включительно, за исключением объектов библиотечного фонда, амортизация не начисляется. Первоначальная стоимость объектов до 10000 рублей, введенных в эксплуатацию, списывается с балансового учета с одновременным отражением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забалансовом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учете.</w:t>
      </w:r>
    </w:p>
    <w:p w:rsidR="00AE000F" w:rsidRDefault="00AE000F" w:rsidP="001F7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объекты основных средств стоимостью от 10000 до 100000 рублей включительно амортизация начисляется в размере 100% первоначальной стоимости при выдаче его в эксплуатацию.</w:t>
      </w:r>
    </w:p>
    <w:p w:rsidR="00AE000F" w:rsidRDefault="00AE000F" w:rsidP="001F7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Основание: пункты 36, 37, 39 СГС «Основные средства».</w:t>
      </w:r>
    </w:p>
    <w:p w:rsidR="006520CF" w:rsidRDefault="006520CF" w:rsidP="006520CF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Годовая сумма амортизационных отчислений определяется исходя из первоначальной стоимости или текущей (восстановительной) стоимости (в случае проведения переоценки) объекта основных средств и нормы амортизации, исчисленной исходя из срока полезного использования этого объекта.</w:t>
      </w:r>
    </w:p>
    <w:p w:rsidR="001F78D5" w:rsidRPr="00424C3B" w:rsidRDefault="001F78D5" w:rsidP="001F7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4C3B">
        <w:rPr>
          <w:rFonts w:ascii="Times New Roman" w:hAnsi="Times New Roman" w:cs="Times New Roman"/>
          <w:sz w:val="28"/>
          <w:szCs w:val="28"/>
        </w:rPr>
        <w:t>В случаях, когда установлены одинаковые сроки полезного использования и метод расчета амортизации всех структурных частей единого объекта основных средств, учреждение объединяет такие части для определения суммы амортизации.</w:t>
      </w:r>
    </w:p>
    <w:p w:rsidR="001F78D5" w:rsidRDefault="001F78D5" w:rsidP="001F7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4C3B">
        <w:rPr>
          <w:rFonts w:ascii="Times New Roman" w:hAnsi="Times New Roman" w:cs="Times New Roman"/>
          <w:sz w:val="28"/>
          <w:szCs w:val="28"/>
        </w:rPr>
        <w:t>Основание: пункт 40 СГС «Основные средства».</w:t>
      </w:r>
    </w:p>
    <w:p w:rsidR="006520CF" w:rsidRDefault="006520CF" w:rsidP="006520CF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Начисление амортизационных отчислений по объектам основных сре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дств в т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ечение отчетного года производится ежемесячно в размере 1/12 исчисленной годовой суммы.</w:t>
      </w:r>
      <w:r w:rsidRPr="006520C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принятия объекта основных сре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дств к б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ухгалтерскому учету в течение отчетного года годовой суммой амортизации считается сумма, определенная с первого числа месяца, следующего за месяцем принятия этого объекта к бухгалтерскому учету, до отчетной даты годовой бухгалтерской отчетности.</w:t>
      </w:r>
    </w:p>
    <w:p w:rsidR="001F78D5" w:rsidRPr="00424C3B" w:rsidRDefault="001F78D5" w:rsidP="001F78D5">
      <w:pPr>
        <w:suppressAutoHyphens/>
        <w:autoSpaceDN w:val="0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24C3B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При переоценке объекта основных средств накопленная амортизация </w:t>
      </w:r>
      <w:r w:rsidRPr="00424C3B">
        <w:rPr>
          <w:rFonts w:ascii="Times New Roman" w:hAnsi="Times New Roman" w:cs="Times New Roman"/>
          <w:iCs/>
          <w:sz w:val="28"/>
          <w:szCs w:val="28"/>
        </w:rPr>
        <w:br/>
        <w:t>на дату переоценки пересчитывается пропорционально изменению первоначальной стоимости объекта таким образом, чтобы его остаточная стоимость после переоценки равнялась его переоцененной стоимости. При этом балансовая стоимость и накопленная амортизация увеличиваются (умножаются) на одинаковый коэффициент таким образом, чтобы при их суммировании получить переоцененную стоимость на дату проведения переоценки.</w:t>
      </w:r>
    </w:p>
    <w:p w:rsidR="001F78D5" w:rsidRPr="00424C3B" w:rsidRDefault="001F78D5" w:rsidP="001F7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4C3B">
        <w:rPr>
          <w:rFonts w:ascii="Times New Roman" w:hAnsi="Times New Roman" w:cs="Times New Roman"/>
          <w:sz w:val="28"/>
          <w:szCs w:val="28"/>
        </w:rPr>
        <w:t xml:space="preserve">Срок полезного использования объектов основных средств устанавливает комиссия по поступлению и выбытию в соответствии </w:t>
      </w:r>
      <w:r w:rsidRPr="00424C3B">
        <w:rPr>
          <w:rFonts w:ascii="Times New Roman" w:hAnsi="Times New Roman" w:cs="Times New Roman"/>
          <w:sz w:val="28"/>
          <w:szCs w:val="28"/>
        </w:rPr>
        <w:br/>
        <w:t xml:space="preserve">с пунктом 35 Стандарта «Основные средства» № 257н. Срок полезного использования объектов основных средств, устанавливается исходя </w:t>
      </w:r>
      <w:r w:rsidRPr="00424C3B">
        <w:rPr>
          <w:rFonts w:ascii="Times New Roman" w:hAnsi="Times New Roman" w:cs="Times New Roman"/>
          <w:sz w:val="28"/>
          <w:szCs w:val="28"/>
        </w:rPr>
        <w:br/>
        <w:t>из следующих факторов:</w:t>
      </w:r>
    </w:p>
    <w:p w:rsidR="001F78D5" w:rsidRPr="00424C3B" w:rsidRDefault="001F78D5" w:rsidP="001F7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4C3B">
        <w:rPr>
          <w:rFonts w:ascii="Times New Roman" w:hAnsi="Times New Roman" w:cs="Times New Roman"/>
          <w:sz w:val="28"/>
          <w:szCs w:val="28"/>
        </w:rPr>
        <w:t>– информации, содержащейся в законодательстве РФ;</w:t>
      </w:r>
      <w:r w:rsidRPr="00424C3B">
        <w:rPr>
          <w:rFonts w:ascii="Times New Roman" w:hAnsi="Times New Roman" w:cs="Times New Roman"/>
          <w:sz w:val="28"/>
          <w:szCs w:val="28"/>
        </w:rPr>
        <w:br/>
        <w:t>– рекомендаций, содержащихся в документах производителя, </w:t>
      </w:r>
    </w:p>
    <w:p w:rsidR="001F78D5" w:rsidRPr="00424C3B" w:rsidRDefault="001F78D5" w:rsidP="001F7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4C3B">
        <w:rPr>
          <w:rFonts w:ascii="Times New Roman" w:hAnsi="Times New Roman" w:cs="Times New Roman"/>
          <w:sz w:val="28"/>
          <w:szCs w:val="28"/>
        </w:rPr>
        <w:t>– при отсутствии соответствующих норм в законодательстве РФ. Если такая информация отсутствует, срок определяется на основании решения комиссии по поступлению и выбытию активов, принятого с учетом ожидаемого срока использования и физического износа объекта, а также с учетом гарантийного срока использования;</w:t>
      </w:r>
    </w:p>
    <w:p w:rsidR="001F78D5" w:rsidRPr="00424C3B" w:rsidRDefault="001F78D5" w:rsidP="001F7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4C3B">
        <w:rPr>
          <w:rFonts w:ascii="Times New Roman" w:hAnsi="Times New Roman" w:cs="Times New Roman"/>
          <w:sz w:val="28"/>
          <w:szCs w:val="28"/>
        </w:rPr>
        <w:t>– сроков фактической эксплуатации и ранее начисленной суммы амортизации – для безвозмездно полученных объектов.</w:t>
      </w:r>
    </w:p>
    <w:p w:rsidR="001F78D5" w:rsidRPr="00424C3B" w:rsidRDefault="001F78D5" w:rsidP="001F7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4C3B">
        <w:rPr>
          <w:rFonts w:ascii="Times New Roman" w:hAnsi="Times New Roman" w:cs="Times New Roman"/>
          <w:sz w:val="28"/>
          <w:szCs w:val="28"/>
        </w:rPr>
        <w:t xml:space="preserve">Для объектов, включенных в амортизационные группы с первой </w:t>
      </w:r>
      <w:r w:rsidRPr="00424C3B">
        <w:rPr>
          <w:rFonts w:ascii="Times New Roman" w:hAnsi="Times New Roman" w:cs="Times New Roman"/>
          <w:sz w:val="28"/>
          <w:szCs w:val="28"/>
        </w:rPr>
        <w:br/>
        <w:t xml:space="preserve">по девятую, срок полезного использования определяется по наибольшему сроку, указанному в постановлении Правительства РФ от 1 января 2002 г. № 1 «О Классификации основных средств, включаемых в амортизационные группы». </w:t>
      </w:r>
    </w:p>
    <w:p w:rsidR="001F78D5" w:rsidRPr="00424C3B" w:rsidRDefault="001F78D5" w:rsidP="001F7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4C3B">
        <w:rPr>
          <w:rFonts w:ascii="Times New Roman" w:hAnsi="Times New Roman" w:cs="Times New Roman"/>
          <w:sz w:val="28"/>
          <w:szCs w:val="28"/>
        </w:rPr>
        <w:t>По объектам, включенным в десятую амортизационную группу, срок полезного использования рассчитывается исходя из единых норм, утвержденных постановлением Совета Министров СССР от 22 октября 1990 г. № 1072.</w:t>
      </w:r>
    </w:p>
    <w:p w:rsidR="001F78D5" w:rsidRPr="00424C3B" w:rsidRDefault="001F78D5" w:rsidP="001F7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4C3B">
        <w:rPr>
          <w:rFonts w:ascii="Times New Roman" w:hAnsi="Times New Roman" w:cs="Times New Roman"/>
          <w:sz w:val="28"/>
          <w:szCs w:val="28"/>
        </w:rPr>
        <w:t>Основание: пункт 44 Инструкции к Единому плану счетов № 157н.</w:t>
      </w:r>
    </w:p>
    <w:p w:rsidR="00170BB7" w:rsidRDefault="00170BB7"/>
    <w:sectPr w:rsidR="00170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5E0"/>
    <w:rsid w:val="00170BB7"/>
    <w:rsid w:val="001F78D5"/>
    <w:rsid w:val="00347023"/>
    <w:rsid w:val="006520CF"/>
    <w:rsid w:val="009201ED"/>
    <w:rsid w:val="009805E0"/>
    <w:rsid w:val="00AE000F"/>
    <w:rsid w:val="00BB3830"/>
    <w:rsid w:val="00EB0899"/>
    <w:rsid w:val="00FE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8D5"/>
    <w:pPr>
      <w:spacing w:after="0" w:line="240" w:lineRule="auto"/>
    </w:pPr>
    <w:rPr>
      <w:rFonts w:ascii="Arial" w:eastAsia="Times New Roman" w:hAnsi="Arial" w:cs="Arial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8D5"/>
    <w:pPr>
      <w:spacing w:after="0" w:line="240" w:lineRule="auto"/>
    </w:pPr>
    <w:rPr>
      <w:rFonts w:ascii="Arial" w:eastAsia="Times New Roman" w:hAnsi="Arial" w:cs="Arial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Elena</cp:lastModifiedBy>
  <cp:revision>10</cp:revision>
  <dcterms:created xsi:type="dcterms:W3CDTF">2020-06-01T10:09:00Z</dcterms:created>
  <dcterms:modified xsi:type="dcterms:W3CDTF">2020-11-19T10:31:00Z</dcterms:modified>
</cp:coreProperties>
</file>